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eastAsia="Arial"/>
          <w:b/>
          <w:sz w:val="32"/>
        </w:rPr>
        <w:t>POLITYKA PRYWATNOŚCI</w:t>
      </w:r>
    </w:p>
    <w:p>
      <w:pPr>
        <w:keepNext/>
        <w:spacing w:before="280" w:after="80"/>
      </w:pPr>
      <w:r>
        <w:rPr>
          <w:rFonts w:ascii="Arial" w:hAnsi="Arial" w:eastAsia="Arial"/>
          <w:b/>
          <w:sz w:val="25"/>
        </w:rPr>
        <w:t>1. Administrator danych osobowych</w:t>
      </w:r>
    </w:p>
    <w:p>
      <w:pPr>
        <w:spacing w:after="120"/>
      </w:pPr>
      <w:r>
        <w:rPr>
          <w:rFonts w:ascii="Arial" w:hAnsi="Arial" w:eastAsia="Arial"/>
          <w:b w:val="0"/>
          <w:i w:val="0"/>
          <w:sz w:val="22"/>
        </w:rPr>
        <w:t>Administratorem danych osobowych jest Kinga Nowobilska, prowadząca działalność gospodarczą pod firmą Doradztwo Kinga Nowobilska.</w:t>
      </w:r>
    </w:p>
    <w:p>
      <w:pPr>
        <w:spacing w:after="120"/>
      </w:pPr>
      <w:r>
        <w:rPr>
          <w:rFonts w:ascii="Arial" w:hAnsi="Arial" w:eastAsia="Arial"/>
          <w:b w:val="0"/>
          <w:i w:val="0"/>
          <w:sz w:val="22"/>
        </w:rPr>
        <w:t>Dane kontaktowe:</w:t>
      </w:r>
    </w:p>
    <w:p>
      <w:pPr>
        <w:pStyle w:val="ListBullet"/>
        <w:spacing w:after="40"/>
      </w:pPr>
      <w:r>
        <w:rPr>
          <w:rFonts w:ascii="Arial" w:hAnsi="Arial" w:eastAsia="Arial"/>
          <w:b w:val="0"/>
          <w:i w:val="0"/>
          <w:sz w:val="22"/>
        </w:rPr>
        <w:t>Adres siedziby: 33-300 Nowy Sącz, ul. Jeziorańskiego 1</w:t>
      </w:r>
    </w:p>
    <w:p>
      <w:pPr>
        <w:pStyle w:val="ListBullet"/>
        <w:spacing w:after="40"/>
      </w:pPr>
      <w:r>
        <w:rPr>
          <w:rFonts w:ascii="Arial" w:hAnsi="Arial" w:eastAsia="Arial"/>
          <w:b w:val="0"/>
          <w:i w:val="0"/>
          <w:sz w:val="22"/>
        </w:rPr>
        <w:t>NIP: 734-122-23-37</w:t>
      </w:r>
    </w:p>
    <w:p>
      <w:pPr>
        <w:pStyle w:val="ListBullet"/>
        <w:spacing w:after="40"/>
      </w:pPr>
      <w:r>
        <w:rPr>
          <w:rFonts w:ascii="Arial" w:hAnsi="Arial" w:eastAsia="Arial"/>
          <w:b w:val="0"/>
          <w:i w:val="0"/>
          <w:sz w:val="22"/>
        </w:rPr>
        <w:t>Telefon: 509 396 848</w:t>
      </w:r>
    </w:p>
    <w:p>
      <w:pPr>
        <w:pStyle w:val="ListBullet"/>
        <w:spacing w:after="40"/>
      </w:pPr>
      <w:r>
        <w:rPr>
          <w:rFonts w:ascii="Arial" w:hAnsi="Arial" w:eastAsia="Arial"/>
          <w:b w:val="0"/>
          <w:i w:val="0"/>
          <w:sz w:val="22"/>
        </w:rPr>
        <w:t>Strona internetowa: www.torodo.pl</w:t>
      </w:r>
    </w:p>
    <w:p>
      <w:pPr>
        <w:pStyle w:val="ListBullet"/>
        <w:spacing w:after="120"/>
      </w:pPr>
      <w:r>
        <w:rPr>
          <w:rFonts w:ascii="Arial" w:hAnsi="Arial" w:eastAsia="Arial"/>
          <w:b w:val="0"/>
          <w:i w:val="0"/>
          <w:sz w:val="22"/>
        </w:rPr>
        <w:t>E-mail w sprawach dotyczących prywatności: iod@torodo.pl</w:t>
      </w:r>
    </w:p>
    <w:p>
      <w:pPr>
        <w:spacing w:after="120"/>
      </w:pPr>
      <w:r>
        <w:rPr>
          <w:rFonts w:ascii="Arial" w:hAnsi="Arial" w:eastAsia="Arial"/>
          <w:b w:val="0"/>
          <w:i w:val="0"/>
          <w:sz w:val="22"/>
        </w:rPr>
        <w:t>Za pośrednictwem wskazanego adresu e-mail można kontaktować się w sprawach związanych z przetwarzaniem danych osobowych i realizacją praw wynikających z przepisów o ochronie danych osobowych.</w:t>
      </w:r>
    </w:p>
    <w:p>
      <w:pPr>
        <w:spacing w:after="120"/>
      </w:pPr>
      <w:r>
        <w:rPr>
          <w:rFonts w:ascii="Arial" w:hAnsi="Arial" w:eastAsia="Arial"/>
          <w:b w:val="0"/>
          <w:i w:val="0"/>
          <w:sz w:val="22"/>
        </w:rPr>
        <w:t>Samo użycie adresu e-mail zawierającego skrót „IOD” nie oznacza, że został formalnie wyznaczony Inspektor Ochrony Danych.</w:t>
      </w:r>
    </w:p>
    <w:p>
      <w:pPr>
        <w:keepNext/>
        <w:spacing w:before="280" w:after="80"/>
      </w:pPr>
      <w:r>
        <w:rPr>
          <w:rFonts w:ascii="Arial" w:hAnsi="Arial" w:eastAsia="Arial"/>
          <w:b/>
          <w:sz w:val="25"/>
        </w:rPr>
        <w:t>2. Zakres Polityki prywatności</w:t>
      </w:r>
    </w:p>
    <w:p>
      <w:pPr>
        <w:spacing w:after="120"/>
      </w:pPr>
      <w:r>
        <w:rPr>
          <w:rFonts w:ascii="Arial" w:hAnsi="Arial" w:eastAsia="Arial"/>
          <w:b w:val="0"/>
          <w:i w:val="0"/>
          <w:sz w:val="22"/>
        </w:rPr>
        <w:t>Niniejsza Polityka opisuje zasady przetwarzania danych osób odwiedzających stronę www.torodo.pl, kontaktujących się z administratorem oraz korzystających z dostępnych funkcji serwisu.</w:t>
      </w:r>
    </w:p>
    <w:p>
      <w:pPr>
        <w:spacing w:after="120"/>
      </w:pPr>
      <w:r>
        <w:rPr>
          <w:rFonts w:ascii="Arial" w:hAnsi="Arial" w:eastAsia="Arial"/>
          <w:b w:val="0"/>
          <w:i w:val="0"/>
          <w:sz w:val="22"/>
        </w:rPr>
        <w:t>Dane są przetwarzane zgodnie z obowiązującymi przepisami, w szczególności rozporządzeniem Parlamentu Europejskiego i Rady (UE) 2016/679 (RODO) oraz właściwymi przepisami prawa polskiego.</w:t>
      </w:r>
    </w:p>
    <w:p>
      <w:pPr>
        <w:keepNext/>
        <w:spacing w:before="280" w:after="80"/>
      </w:pPr>
      <w:r>
        <w:rPr>
          <w:rFonts w:ascii="Arial" w:hAnsi="Arial" w:eastAsia="Arial"/>
          <w:b/>
          <w:sz w:val="25"/>
        </w:rPr>
        <w:t>3. Jakie dane mogą być przetwarzane?</w:t>
      </w:r>
    </w:p>
    <w:p>
      <w:pPr>
        <w:spacing w:after="120"/>
      </w:pPr>
      <w:r>
        <w:rPr>
          <w:rFonts w:ascii="Arial" w:hAnsi="Arial" w:eastAsia="Arial"/>
          <w:b w:val="0"/>
          <w:i w:val="0"/>
          <w:sz w:val="22"/>
        </w:rPr>
        <w:t>W zależności od sposobu korzystania ze strony administrator może przetwarzać:</w:t>
      </w:r>
    </w:p>
    <w:p>
      <w:pPr>
        <w:pStyle w:val="ListBullet"/>
        <w:spacing w:after="40"/>
      </w:pPr>
      <w:r>
        <w:rPr>
          <w:rFonts w:ascii="Arial" w:hAnsi="Arial" w:eastAsia="Arial"/>
          <w:b w:val="0"/>
          <w:i w:val="0"/>
          <w:sz w:val="22"/>
        </w:rPr>
        <w:t>imię i nazwisko;</w:t>
      </w:r>
    </w:p>
    <w:p>
      <w:pPr>
        <w:pStyle w:val="ListBullet"/>
        <w:spacing w:after="40"/>
      </w:pPr>
      <w:r>
        <w:rPr>
          <w:rFonts w:ascii="Arial" w:hAnsi="Arial" w:eastAsia="Arial"/>
          <w:b w:val="0"/>
          <w:i w:val="0"/>
          <w:sz w:val="22"/>
        </w:rPr>
        <w:t>adres e-mail i numer telefonu;</w:t>
      </w:r>
    </w:p>
    <w:p>
      <w:pPr>
        <w:pStyle w:val="ListBullet"/>
        <w:spacing w:after="40"/>
      </w:pPr>
      <w:r>
        <w:rPr>
          <w:rFonts w:ascii="Arial" w:hAnsi="Arial" w:eastAsia="Arial"/>
          <w:b w:val="0"/>
          <w:i w:val="0"/>
          <w:sz w:val="22"/>
        </w:rPr>
        <w:t>treść korespondencji i zapytań;</w:t>
      </w:r>
    </w:p>
    <w:p>
      <w:pPr>
        <w:pStyle w:val="ListBullet"/>
        <w:spacing w:after="40"/>
      </w:pPr>
      <w:r>
        <w:rPr>
          <w:rFonts w:ascii="Arial" w:hAnsi="Arial" w:eastAsia="Arial"/>
          <w:b w:val="0"/>
          <w:i w:val="0"/>
          <w:sz w:val="22"/>
        </w:rPr>
        <w:t>dane przekazane w związku z przygotowaniem oferty lub realizacją umowy;</w:t>
      </w:r>
    </w:p>
    <w:p>
      <w:pPr>
        <w:pStyle w:val="ListBullet"/>
        <w:spacing w:after="40"/>
      </w:pPr>
      <w:r>
        <w:rPr>
          <w:rFonts w:ascii="Arial" w:hAnsi="Arial" w:eastAsia="Arial"/>
          <w:b w:val="0"/>
          <w:i w:val="0"/>
          <w:sz w:val="22"/>
        </w:rPr>
        <w:t>dane wymagane do rozliczeń, jeżeli dochodzi do współpracy;</w:t>
      </w:r>
    </w:p>
    <w:p>
      <w:pPr>
        <w:pStyle w:val="ListBullet"/>
        <w:spacing w:after="40"/>
      </w:pPr>
      <w:r>
        <w:rPr>
          <w:rFonts w:ascii="Arial" w:hAnsi="Arial" w:eastAsia="Arial"/>
          <w:b w:val="0"/>
          <w:i w:val="0"/>
          <w:sz w:val="22"/>
        </w:rPr>
        <w:t>dane techniczne związane z korzystaniem ze strony, takie jak adres IP, informacje o przeglądarce i logi serwera;</w:t>
      </w:r>
    </w:p>
    <w:p>
      <w:pPr>
        <w:pStyle w:val="ListBullet"/>
        <w:spacing w:after="120"/>
      </w:pPr>
      <w:r>
        <w:rPr>
          <w:rFonts w:ascii="Arial" w:hAnsi="Arial" w:eastAsia="Arial"/>
          <w:b w:val="0"/>
          <w:i w:val="0"/>
          <w:sz w:val="22"/>
        </w:rPr>
        <w:t>informacje zbierane za pomocą plików cookies i podobnych technologii (identyfikatory online, przybliżona lokalizacja, informacje o urządzeniu i sposobie korzystania ze strony), wyłącznie za zgodą użytkownika i w zakresie analityki.</w:t>
      </w:r>
    </w:p>
    <w:p>
      <w:pPr>
        <w:spacing w:after="120"/>
      </w:pPr>
      <w:r>
        <w:rPr>
          <w:rFonts w:ascii="Arial" w:hAnsi="Arial" w:eastAsia="Arial"/>
          <w:b w:val="0"/>
          <w:i w:val="0"/>
          <w:sz w:val="22"/>
        </w:rPr>
        <w:t>Zakres danych zależy od faktycznych funkcji strony i informacji przekazanych przez użytkownika.</w:t>
      </w:r>
    </w:p>
    <w:p>
      <w:pPr>
        <w:keepNext/>
        <w:spacing w:before="280" w:after="80"/>
      </w:pPr>
      <w:r>
        <w:rPr>
          <w:rFonts w:ascii="Arial" w:hAnsi="Arial" w:eastAsia="Arial"/>
          <w:b/>
          <w:sz w:val="25"/>
        </w:rPr>
        <w:t>4. Cele i podstawy prawne przetwarzania</w:t>
      </w:r>
    </w:p>
    <w:p>
      <w:pPr>
        <w:keepNext/>
        <w:spacing w:before="160" w:after="60"/>
      </w:pPr>
      <w:r>
        <w:rPr>
          <w:rFonts w:ascii="Arial" w:hAnsi="Arial" w:eastAsia="Arial"/>
          <w:b/>
          <w:sz w:val="22"/>
        </w:rPr>
        <w:t>4.1. Obsługa zapytań i korespondencji</w:t>
      </w:r>
    </w:p>
    <w:p>
      <w:pPr>
        <w:spacing w:after="120"/>
      </w:pPr>
      <w:r>
        <w:rPr>
          <w:rFonts w:ascii="Arial" w:hAnsi="Arial" w:eastAsia="Arial"/>
          <w:b w:val="0"/>
          <w:i w:val="0"/>
          <w:sz w:val="22"/>
        </w:rPr>
        <w:t>Dane przekazane w wiadomości e-mail lub podczas rozmowy telefonicznej mogą być przetwarzane w celu udzielenia odpowiedzi i obsługi sprawy.</w:t>
      </w:r>
    </w:p>
    <w:p>
      <w:pPr>
        <w:spacing w:after="120"/>
      </w:pPr>
      <w:r>
        <w:rPr>
          <w:rFonts w:ascii="Arial" w:hAnsi="Arial" w:eastAsia="Arial"/>
          <w:b w:val="0"/>
          <w:i w:val="0"/>
          <w:sz w:val="22"/>
        </w:rPr>
        <w:t>Podstawą prawną jest art. 6 ust. 1 lit. b RODO, jeżeli chodzi o działania przed zawarciem umowy podejmowane na żądanie osoby, albo art. 6 ust. 1 lit. f RODO, gdy przetwarzanie jest niezbędne do realizacji prawnie uzasadnionego interesu administratora, np. obsługi korespondencji.</w:t>
      </w:r>
    </w:p>
    <w:p>
      <w:pPr>
        <w:keepNext/>
        <w:spacing w:before="160" w:after="60"/>
      </w:pPr>
      <w:r>
        <w:rPr>
          <w:rFonts w:ascii="Arial" w:hAnsi="Arial" w:eastAsia="Arial"/>
          <w:b/>
          <w:sz w:val="22"/>
        </w:rPr>
        <w:t>4.2. Zawarcie i wykonanie umowy</w:t>
      </w:r>
    </w:p>
    <w:p>
      <w:pPr>
        <w:spacing w:after="120"/>
      </w:pPr>
      <w:r>
        <w:rPr>
          <w:rFonts w:ascii="Arial" w:hAnsi="Arial" w:eastAsia="Arial"/>
          <w:b w:val="0"/>
          <w:i w:val="0"/>
          <w:sz w:val="22"/>
        </w:rPr>
        <w:t>Jeżeli użytkownik podejmuje współpracę z administratorem, dane mogą być przetwarzane w celu przygotowania oferty, zawarcia umowy, realizacji usług i kontaktu dotyczącego współpracy.</w:t>
      </w:r>
    </w:p>
    <w:p>
      <w:pPr>
        <w:spacing w:after="120"/>
      </w:pPr>
      <w:r>
        <w:rPr>
          <w:rFonts w:ascii="Arial" w:hAnsi="Arial" w:eastAsia="Arial"/>
          <w:b w:val="0"/>
          <w:i w:val="0"/>
          <w:sz w:val="22"/>
        </w:rPr>
        <w:t>Podstawą prawną jest art. 6 ust. 1 lit. b RODO.</w:t>
      </w:r>
    </w:p>
    <w:p>
      <w:pPr>
        <w:keepNext/>
        <w:spacing w:before="160" w:after="60"/>
      </w:pPr>
      <w:r>
        <w:rPr>
          <w:rFonts w:ascii="Arial" w:hAnsi="Arial" w:eastAsia="Arial"/>
          <w:b/>
          <w:sz w:val="22"/>
        </w:rPr>
        <w:t>4.3. Wypełnianie obowiązków prawnych</w:t>
      </w:r>
    </w:p>
    <w:p>
      <w:pPr>
        <w:spacing w:after="120"/>
      </w:pPr>
      <w:r>
        <w:rPr>
          <w:rFonts w:ascii="Arial" w:hAnsi="Arial" w:eastAsia="Arial"/>
          <w:b w:val="0"/>
          <w:i w:val="0"/>
          <w:sz w:val="22"/>
        </w:rPr>
        <w:t>Dane mogą być przetwarzane w celu realizacji obowiązków wynikających z przepisów prawa, w szczególności podatkowych i księgowych.</w:t>
      </w:r>
    </w:p>
    <w:p>
      <w:pPr>
        <w:spacing w:after="120"/>
      </w:pPr>
      <w:r>
        <w:rPr>
          <w:rFonts w:ascii="Arial" w:hAnsi="Arial" w:eastAsia="Arial"/>
          <w:b w:val="0"/>
          <w:i w:val="0"/>
          <w:sz w:val="22"/>
        </w:rPr>
        <w:t>Podstawą prawną jest art. 6 ust. 1 lit. c RODO.</w:t>
      </w:r>
    </w:p>
    <w:p>
      <w:pPr>
        <w:keepNext/>
        <w:spacing w:before="160" w:after="60"/>
      </w:pPr>
      <w:r>
        <w:rPr>
          <w:rFonts w:ascii="Arial" w:hAnsi="Arial" w:eastAsia="Arial"/>
          <w:b/>
          <w:sz w:val="22"/>
        </w:rPr>
        <w:t>4.4. Dochodzenie lub obrona przed roszczeniami</w:t>
      </w:r>
    </w:p>
    <w:p>
      <w:pPr>
        <w:spacing w:after="120"/>
      </w:pPr>
      <w:r>
        <w:rPr>
          <w:rFonts w:ascii="Arial" w:hAnsi="Arial" w:eastAsia="Arial"/>
          <w:b w:val="0"/>
          <w:i w:val="0"/>
          <w:sz w:val="22"/>
        </w:rPr>
        <w:t>Dane mogą być przetwarzane w celu ustalenia, dochodzenia lub obrony przed roszczeniami.</w:t>
      </w:r>
    </w:p>
    <w:p>
      <w:pPr>
        <w:spacing w:after="120"/>
      </w:pPr>
      <w:r>
        <w:rPr>
          <w:rFonts w:ascii="Arial" w:hAnsi="Arial" w:eastAsia="Arial"/>
          <w:b w:val="0"/>
          <w:i w:val="0"/>
          <w:sz w:val="22"/>
        </w:rPr>
        <w:t>Podstawą prawną jest art. 6 ust. 1 lit. f RODO.</w:t>
      </w:r>
    </w:p>
    <w:p>
      <w:pPr>
        <w:keepNext/>
        <w:spacing w:before="160" w:after="60"/>
      </w:pPr>
      <w:r>
        <w:rPr>
          <w:rFonts w:ascii="Arial" w:hAnsi="Arial" w:eastAsia="Arial"/>
          <w:b/>
          <w:sz w:val="22"/>
        </w:rPr>
        <w:t>4.5. Bezpieczeństwo strony internetowej</w:t>
      </w:r>
    </w:p>
    <w:p>
      <w:pPr>
        <w:spacing w:after="120"/>
      </w:pPr>
      <w:r>
        <w:rPr>
          <w:rFonts w:ascii="Arial" w:hAnsi="Arial" w:eastAsia="Arial"/>
          <w:b w:val="0"/>
          <w:i w:val="0"/>
          <w:sz w:val="22"/>
        </w:rPr>
        <w:t>Dane techniczne i logi serwera mogą być przetwarzane w celu zapewnienia bezpieczeństwa, wykrywania nadużyć, diagnozowania błędów i prawidłowego działania strony.</w:t>
      </w:r>
    </w:p>
    <w:p>
      <w:pPr>
        <w:spacing w:after="120"/>
      </w:pPr>
      <w:r>
        <w:rPr>
          <w:rFonts w:ascii="Arial" w:hAnsi="Arial" w:eastAsia="Arial"/>
          <w:b w:val="0"/>
          <w:i w:val="0"/>
          <w:sz w:val="22"/>
        </w:rPr>
        <w:t>Podstawą prawną, w zakresie, w jakim dane stanowią dane osobowe, może być art. 6 ust. 1 lit. f RODO.</w:t>
      </w:r>
    </w:p>
    <w:p>
      <w:pPr>
        <w:keepNext/>
        <w:spacing w:before="160" w:after="60"/>
      </w:pPr>
      <w:r>
        <w:rPr>
          <w:rFonts w:ascii="Arial" w:hAnsi="Arial" w:eastAsia="Arial"/>
          <w:b/>
          <w:sz w:val="22"/>
        </w:rPr>
        <w:t>4.6. Analityka (Google Analytics)</w:t>
      </w:r>
    </w:p>
    <w:p>
      <w:pPr>
        <w:spacing w:after="120"/>
      </w:pPr>
      <w:r>
        <w:rPr>
          <w:rFonts w:ascii="Arial" w:hAnsi="Arial" w:eastAsia="Arial"/>
          <w:b w:val="0"/>
          <w:i w:val="0"/>
          <w:sz w:val="22"/>
        </w:rPr>
        <w:t>Strona korzysta z narzędzia Google Analytics 4, którego dostawcą jest Google Ireland Limited. Narzędzie służy do statystycznej analizy ruchu na stronie (np. liczba odwiedzin, źródła ruchu, odwiedzane podstrony, rodzaj urządzenia) i wykorzystuje w tym celu pliki cookies oraz podobne technologie.</w:t>
      </w:r>
    </w:p>
    <w:p>
      <w:pPr>
        <w:spacing w:after="120"/>
      </w:pPr>
      <w:r>
        <w:rPr>
          <w:rFonts w:ascii="Arial" w:hAnsi="Arial" w:eastAsia="Arial"/>
          <w:b w:val="0"/>
          <w:i w:val="0"/>
          <w:sz w:val="22"/>
        </w:rPr>
        <w:t>Dane są przetwarzane wyłącznie po wyrażeniu przez użytkownika zgody w banerze cookies. Podstawą prawną jest zgoda (art. 6 ust. 1 lit. a RODO). Zgodę można w każdej chwili wycofać za pomocą ustawień cookies dostępnych w stopce strony, co nie wpływa na zgodność z prawem przetwarzania dokonanego przed jej wycofaniem.</w:t>
      </w:r>
    </w:p>
    <w:p>
      <w:pPr>
        <w:spacing w:after="120"/>
      </w:pPr>
      <w:r>
        <w:rPr>
          <w:rFonts w:ascii="Arial" w:hAnsi="Arial" w:eastAsia="Arial"/>
          <w:b w:val="0"/>
          <w:i w:val="0"/>
          <w:sz w:val="22"/>
        </w:rPr>
        <w:t>Strona nie wykorzystuje narzędzi marketingowych ani reklamowych.</w:t>
      </w:r>
    </w:p>
    <w:p>
      <w:pPr>
        <w:keepNext/>
        <w:spacing w:before="280" w:after="80"/>
      </w:pPr>
      <w:r>
        <w:rPr>
          <w:rFonts w:ascii="Arial" w:hAnsi="Arial" w:eastAsia="Arial"/>
          <w:b/>
          <w:sz w:val="25"/>
        </w:rPr>
        <w:t>5. Dobrowolność podania danych</w:t>
      </w:r>
    </w:p>
    <w:p>
      <w:pPr>
        <w:spacing w:after="120"/>
      </w:pPr>
      <w:r>
        <w:rPr>
          <w:rFonts w:ascii="Arial" w:hAnsi="Arial" w:eastAsia="Arial"/>
          <w:b w:val="0"/>
          <w:i w:val="0"/>
          <w:sz w:val="22"/>
        </w:rPr>
        <w:t>Podanie danych jest co do zasady dobrowolne, ale może być niezbędne do obsługi zapytania, przygotowania oferty lub zawarcia umowy. Niepodanie danych wymaganych do realizacji danego celu może uniemożliwić wykonanie określonej czynności.</w:t>
      </w:r>
    </w:p>
    <w:p>
      <w:pPr>
        <w:spacing w:after="120"/>
      </w:pPr>
      <w:r>
        <w:rPr>
          <w:rFonts w:ascii="Arial" w:hAnsi="Arial" w:eastAsia="Arial"/>
          <w:b w:val="0"/>
          <w:i w:val="0"/>
          <w:sz w:val="22"/>
        </w:rPr>
        <w:t>Administrator nie powinien żądać danych nadmiarowych w stosunku do celu ich przetwarzania.</w:t>
      </w:r>
    </w:p>
    <w:p>
      <w:pPr>
        <w:keepNext/>
        <w:spacing w:before="280" w:after="80"/>
      </w:pPr>
      <w:r>
        <w:rPr>
          <w:rFonts w:ascii="Arial" w:hAnsi="Arial" w:eastAsia="Arial"/>
          <w:b/>
          <w:sz w:val="25"/>
        </w:rPr>
        <w:t>6. Odbiorcy danych</w:t>
      </w:r>
    </w:p>
    <w:p>
      <w:pPr>
        <w:spacing w:after="120"/>
      </w:pPr>
      <w:r>
        <w:rPr>
          <w:rFonts w:ascii="Arial" w:hAnsi="Arial" w:eastAsia="Arial"/>
          <w:b w:val="0"/>
          <w:i w:val="0"/>
          <w:sz w:val="22"/>
        </w:rPr>
        <w:t>Dane mogą być udostępniane podmiotom wspierającym administratora w prowadzeniu działalności, w zakresie niezbędnym do realizacji określonych celów. Mogą to być w szczególności:</w:t>
      </w:r>
    </w:p>
    <w:p>
      <w:pPr>
        <w:pStyle w:val="ListBullet"/>
        <w:spacing w:after="40"/>
      </w:pPr>
      <w:r>
        <w:rPr>
          <w:rFonts w:ascii="Arial" w:hAnsi="Arial" w:eastAsia="Arial"/>
          <w:b w:val="0"/>
          <w:i w:val="0"/>
          <w:sz w:val="22"/>
        </w:rPr>
        <w:t>dostawcy hostingu i usług serwerowych;</w:t>
      </w:r>
    </w:p>
    <w:p>
      <w:pPr>
        <w:pStyle w:val="ListBullet"/>
        <w:spacing w:after="40"/>
      </w:pPr>
      <w:r>
        <w:rPr>
          <w:rFonts w:ascii="Arial" w:hAnsi="Arial" w:eastAsia="Arial"/>
          <w:b w:val="0"/>
          <w:i w:val="0"/>
          <w:sz w:val="22"/>
        </w:rPr>
        <w:t>dostawcy poczty elektronicznej;</w:t>
      </w:r>
    </w:p>
    <w:p>
      <w:pPr>
        <w:pStyle w:val="ListBullet"/>
        <w:spacing w:after="120"/>
      </w:pPr>
      <w:r>
        <w:rPr>
          <w:rFonts w:ascii="Arial" w:hAnsi="Arial" w:eastAsia="Arial"/>
          <w:b w:val="0"/>
          <w:i w:val="0"/>
          <w:sz w:val="22"/>
        </w:rPr>
        <w:t>dostawcy wsparcia informatycznego;</w:t>
      </w:r>
    </w:p>
    <w:p>
      <w:pPr>
        <w:pStyle w:val="ListBullet"/>
        <w:spacing w:after="40"/>
      </w:pPr>
      <w:r>
        <w:rPr>
          <w:rFonts w:ascii="Arial" w:hAnsi="Arial" w:eastAsia="Arial"/>
          <w:b w:val="0"/>
          <w:i w:val="0"/>
          <w:sz w:val="22"/>
        </w:rPr>
        <w:t>Google Ireland Limited jako dostawca narzędzia Google Analytics (po wyrażeniu zgody przez użytkownika);</w:t>
      </w:r>
    </w:p>
    <w:p>
      <w:pPr>
        <w:pStyle w:val="ListBullet"/>
        <w:spacing w:after="40"/>
      </w:pPr>
      <w:r>
        <w:rPr>
          <w:rFonts w:ascii="Arial" w:hAnsi="Arial" w:eastAsia="Arial"/>
          <w:b w:val="0"/>
          <w:i w:val="0"/>
          <w:sz w:val="22"/>
        </w:rPr>
        <w:t>biuro rachunkowe lub doradcy prawni;</w:t>
      </w:r>
    </w:p>
    <w:p>
      <w:pPr>
        <w:pStyle w:val="ListBullet"/>
        <w:spacing w:after="120"/>
      </w:pPr>
      <w:r>
        <w:rPr>
          <w:rFonts w:ascii="Arial" w:hAnsi="Arial" w:eastAsia="Arial"/>
          <w:b w:val="0"/>
          <w:i w:val="0"/>
          <w:sz w:val="22"/>
        </w:rPr>
        <w:t>uprawnione organy publiczne, gdy obowiązek udostępnienia danych wynika z prawa.</w:t>
      </w:r>
    </w:p>
    <w:p>
      <w:pPr>
        <w:spacing w:after="120"/>
      </w:pPr>
      <w:r>
        <w:rPr>
          <w:rFonts w:ascii="Arial" w:hAnsi="Arial" w:eastAsia="Arial"/>
          <w:b w:val="0"/>
          <w:i w:val="0"/>
          <w:sz w:val="22"/>
        </w:rPr>
        <w:t>Podmioty przetwarzające dane w imieniu administratora będą działać na podstawie odpowiednich umów, jeżeli są one wymagane.</w:t>
      </w:r>
    </w:p>
    <w:p>
      <w:pPr>
        <w:keepNext/>
        <w:spacing w:before="280" w:after="80"/>
      </w:pPr>
      <w:r>
        <w:rPr>
          <w:rFonts w:ascii="Arial" w:hAnsi="Arial" w:eastAsia="Arial"/>
          <w:b/>
          <w:sz w:val="25"/>
        </w:rPr>
        <w:t>7. Przekazywanie danych poza EOG</w:t>
      </w:r>
    </w:p>
    <w:p>
      <w:pPr>
        <w:spacing w:after="120"/>
      </w:pPr>
      <w:r>
        <w:rPr>
          <w:rFonts w:ascii="Arial" w:hAnsi="Arial" w:eastAsia="Arial"/>
          <w:b w:val="0"/>
          <w:i w:val="0"/>
          <w:sz w:val="22"/>
        </w:rPr>
        <w:t>Jeżeli dostawcy usług wykorzystywanych na stronie przetwarzają dane poza Europejskim Obszarem Gospodarczym, administrator zapewnia zgodność przekazywania danych z rozdziałem V RODO.</w:t>
      </w:r>
    </w:p>
    <w:p>
      <w:pPr>
        <w:spacing w:after="120"/>
      </w:pPr>
      <w:r>
        <w:rPr>
          <w:rFonts w:ascii="Arial" w:hAnsi="Arial" w:eastAsia="Arial"/>
          <w:b w:val="0"/>
          <w:i w:val="0"/>
          <w:sz w:val="22"/>
        </w:rPr>
        <w:t>Dostawca narzędzia Google Analytics, Google Ireland Limited, może przekazywać dane do Google LLC w Stanach Zjednoczonych. Przekazanie odbywa się na podstawie decyzji Komisji Europejskiej stwierdzającej odpowiedni stopień ochrony (EU–U.S. Data Privacy Framework) lub innych zabezpieczeń przewidzianych w rozdziale V RODO. Dane są przekazywane wyłącznie wtedy, gdy użytkownik wyraził zgodę na analitykę.</w:t>
      </w:r>
    </w:p>
    <w:p>
      <w:pPr>
        <w:keepNext/>
        <w:spacing w:before="280" w:after="80"/>
      </w:pPr>
      <w:r>
        <w:rPr>
          <w:rFonts w:ascii="Arial" w:hAnsi="Arial" w:eastAsia="Arial"/>
          <w:b/>
          <w:sz w:val="25"/>
        </w:rPr>
        <w:t>8. Okres przechowywania danych</w:t>
      </w:r>
    </w:p>
    <w:p>
      <w:pPr>
        <w:spacing w:after="120"/>
      </w:pPr>
      <w:r>
        <w:rPr>
          <w:rFonts w:ascii="Arial" w:hAnsi="Arial" w:eastAsia="Arial"/>
          <w:b w:val="0"/>
          <w:i w:val="0"/>
          <w:sz w:val="22"/>
        </w:rPr>
        <w:t>Dane przechowuje się przez okres niezbędny do realizacji celu przetwarzania, a następnie przez okres wymagany przepisami prawa lub potrzebny do ustalenia, dochodzenia albo obrony przed roszczeniami.</w:t>
      </w:r>
    </w:p>
    <w:p>
      <w:pPr>
        <w:spacing w:after="120"/>
      </w:pPr>
      <w:r>
        <w:rPr>
          <w:rFonts w:ascii="Arial" w:hAnsi="Arial" w:eastAsia="Arial"/>
          <w:b w:val="0"/>
          <w:i w:val="0"/>
          <w:sz w:val="22"/>
        </w:rPr>
        <w:t>W szczególności:</w:t>
      </w:r>
    </w:p>
    <w:p>
      <w:pPr>
        <w:pStyle w:val="ListBullet"/>
        <w:spacing w:after="40"/>
      </w:pPr>
      <w:r>
        <w:rPr>
          <w:rFonts w:ascii="Arial" w:hAnsi="Arial" w:eastAsia="Arial"/>
          <w:b w:val="0"/>
          <w:i w:val="0"/>
          <w:sz w:val="22"/>
        </w:rPr>
        <w:t>korespondencja — przez czas potrzebny do obsługi sprawy, a następnie przez okres uzasadniony jej charakterem;</w:t>
      </w:r>
    </w:p>
    <w:p>
      <w:pPr>
        <w:pStyle w:val="ListBullet"/>
        <w:spacing w:after="40"/>
      </w:pPr>
      <w:r>
        <w:rPr>
          <w:rFonts w:ascii="Arial" w:hAnsi="Arial" w:eastAsia="Arial"/>
          <w:b w:val="0"/>
          <w:i w:val="0"/>
          <w:sz w:val="22"/>
        </w:rPr>
        <w:t>dane umowne — przez czas trwania współpracy i okres niezbędny do rozliczenia oraz obrony przed roszczeniami;</w:t>
      </w:r>
    </w:p>
    <w:p>
      <w:pPr>
        <w:pStyle w:val="ListBullet"/>
        <w:spacing w:after="40"/>
      </w:pPr>
      <w:r>
        <w:rPr>
          <w:rFonts w:ascii="Arial" w:hAnsi="Arial" w:eastAsia="Arial"/>
          <w:b w:val="0"/>
          <w:i w:val="0"/>
          <w:sz w:val="22"/>
        </w:rPr>
        <w:t>dokumentacja księgowa i podatkowa — przez okres wymagany przepisami;</w:t>
      </w:r>
    </w:p>
    <w:p>
      <w:pPr>
        <w:pStyle w:val="ListBullet"/>
        <w:spacing w:after="40"/>
      </w:pPr>
      <w:r>
        <w:rPr>
          <w:rFonts w:ascii="Arial" w:hAnsi="Arial" w:eastAsia="Arial"/>
          <w:b w:val="0"/>
          <w:i w:val="0"/>
          <w:sz w:val="22"/>
        </w:rPr>
        <w:t>dane przetwarzane na podstawie zgody — do czasu jej wycofania lub ustania celu, z uwzględnieniem zgodnego z prawem przetwarzania przed wycofaniem;</w:t>
      </w:r>
    </w:p>
    <w:p>
      <w:pPr>
        <w:pStyle w:val="ListBullet"/>
        <w:spacing w:after="40"/>
      </w:pPr>
      <w:r>
        <w:rPr>
          <w:rFonts w:ascii="Arial" w:hAnsi="Arial" w:eastAsia="Arial"/>
          <w:b w:val="0"/>
          <w:i w:val="0"/>
          <w:sz w:val="22"/>
        </w:rPr>
        <w:t>dane techniczne — przez okres wynikający z potrzeb bezpieczeństwa i konfiguracji systemów;</w:t>
      </w:r>
    </w:p>
    <w:p>
      <w:pPr>
        <w:pStyle w:val="ListBullet"/>
        <w:spacing w:after="40"/>
      </w:pPr>
      <w:r>
        <w:rPr>
          <w:rFonts w:ascii="Arial" w:hAnsi="Arial" w:eastAsia="Arial"/>
          <w:b w:val="0"/>
          <w:i w:val="0"/>
          <w:sz w:val="22"/>
        </w:rPr>
        <w:t>dane analityczne w Google Analytics — do 14 miesięcy od zebrania;</w:t>
      </w:r>
    </w:p>
    <w:p>
      <w:pPr>
        <w:pStyle w:val="ListBullet"/>
        <w:spacing w:after="120"/>
      </w:pPr>
      <w:r>
        <w:rPr>
          <w:rFonts w:ascii="Arial" w:hAnsi="Arial" w:eastAsia="Arial"/>
          <w:b w:val="0"/>
          <w:i w:val="0"/>
          <w:sz w:val="22"/>
        </w:rPr>
        <w:t>pliki cookies — przez czas wskazany w Polityce cookies.</w:t>
      </w:r>
    </w:p>
    <w:p>
      <w:pPr>
        <w:spacing w:after="120"/>
      </w:pPr>
      <w:r>
        <w:rPr>
          <w:rFonts w:ascii="Arial" w:hAnsi="Arial" w:eastAsia="Arial"/>
          <w:b w:val="0"/>
          <w:i w:val="0"/>
          <w:sz w:val="22"/>
        </w:rPr>
        <w:t>Po upływie odpowiednich okresów dane są usuwane lub anonimizowane, chyba że ich dalsze przechowywanie jest wymagane lub dozwolone przez prawo.</w:t>
      </w:r>
    </w:p>
    <w:p>
      <w:pPr>
        <w:keepNext/>
        <w:spacing w:before="280" w:after="80"/>
      </w:pPr>
      <w:r>
        <w:rPr>
          <w:rFonts w:ascii="Arial" w:hAnsi="Arial" w:eastAsia="Arial"/>
          <w:b/>
          <w:sz w:val="25"/>
        </w:rPr>
        <w:t>9. Prawa osób, których dane dotyczą</w:t>
      </w:r>
    </w:p>
    <w:p>
      <w:pPr>
        <w:spacing w:after="120"/>
      </w:pPr>
      <w:r>
        <w:rPr>
          <w:rFonts w:ascii="Arial" w:hAnsi="Arial" w:eastAsia="Arial"/>
          <w:b w:val="0"/>
          <w:i w:val="0"/>
          <w:sz w:val="22"/>
        </w:rPr>
        <w:t>Zgodnie z RODO osobom, których dane dotyczą, mogą przysługiwać:</w:t>
      </w:r>
    </w:p>
    <w:p>
      <w:pPr>
        <w:pStyle w:val="ListBullet"/>
        <w:spacing w:after="40"/>
      </w:pPr>
      <w:r>
        <w:rPr>
          <w:rFonts w:ascii="Arial" w:hAnsi="Arial" w:eastAsia="Arial"/>
          <w:b w:val="0"/>
          <w:i w:val="0"/>
          <w:sz w:val="22"/>
        </w:rPr>
        <w:t>prawo dostępu do danych;</w:t>
      </w:r>
    </w:p>
    <w:p>
      <w:pPr>
        <w:pStyle w:val="ListBullet"/>
        <w:spacing w:after="40"/>
      </w:pPr>
      <w:r>
        <w:rPr>
          <w:rFonts w:ascii="Arial" w:hAnsi="Arial" w:eastAsia="Arial"/>
          <w:b w:val="0"/>
          <w:i w:val="0"/>
          <w:sz w:val="22"/>
        </w:rPr>
        <w:t>prawo sprostowania danych;</w:t>
      </w:r>
    </w:p>
    <w:p>
      <w:pPr>
        <w:pStyle w:val="ListBullet"/>
        <w:spacing w:after="40"/>
      </w:pPr>
      <w:r>
        <w:rPr>
          <w:rFonts w:ascii="Arial" w:hAnsi="Arial" w:eastAsia="Arial"/>
          <w:b w:val="0"/>
          <w:i w:val="0"/>
          <w:sz w:val="22"/>
        </w:rPr>
        <w:t>prawo usunięcia danych, w przypadkach przewidzianych prawem;</w:t>
      </w:r>
    </w:p>
    <w:p>
      <w:pPr>
        <w:pStyle w:val="ListBullet"/>
        <w:spacing w:after="40"/>
      </w:pPr>
      <w:r>
        <w:rPr>
          <w:rFonts w:ascii="Arial" w:hAnsi="Arial" w:eastAsia="Arial"/>
          <w:b w:val="0"/>
          <w:i w:val="0"/>
          <w:sz w:val="22"/>
        </w:rPr>
        <w:t>prawo ograniczenia przetwarzania;</w:t>
      </w:r>
    </w:p>
    <w:p>
      <w:pPr>
        <w:pStyle w:val="ListBullet"/>
        <w:spacing w:after="40"/>
      </w:pPr>
      <w:r>
        <w:rPr>
          <w:rFonts w:ascii="Arial" w:hAnsi="Arial" w:eastAsia="Arial"/>
          <w:b w:val="0"/>
          <w:i w:val="0"/>
          <w:sz w:val="22"/>
        </w:rPr>
        <w:t>prawo przenoszenia danych, gdy spełnione są warunki ustawowe;</w:t>
      </w:r>
    </w:p>
    <w:p>
      <w:pPr>
        <w:pStyle w:val="ListBullet"/>
        <w:spacing w:after="40"/>
      </w:pPr>
      <w:r>
        <w:rPr>
          <w:rFonts w:ascii="Arial" w:hAnsi="Arial" w:eastAsia="Arial"/>
          <w:b w:val="0"/>
          <w:i w:val="0"/>
          <w:sz w:val="22"/>
        </w:rPr>
        <w:t>prawo sprzeciwu wobec przetwarzania opartego na prawnie uzasadnionym interesie;</w:t>
      </w:r>
    </w:p>
    <w:p>
      <w:pPr>
        <w:pStyle w:val="ListBullet"/>
        <w:spacing w:after="40"/>
      </w:pPr>
      <w:r>
        <w:rPr>
          <w:rFonts w:ascii="Arial" w:hAnsi="Arial" w:eastAsia="Arial"/>
          <w:b w:val="0"/>
          <w:i w:val="0"/>
          <w:sz w:val="22"/>
        </w:rPr>
        <w:t>prawo wycofania zgody, jeżeli przetwarzanie odbywa się na jej podstawie;</w:t>
      </w:r>
    </w:p>
    <w:p>
      <w:pPr>
        <w:pStyle w:val="ListBullet"/>
        <w:spacing w:after="120"/>
      </w:pPr>
      <w:r>
        <w:rPr>
          <w:rFonts w:ascii="Arial" w:hAnsi="Arial" w:eastAsia="Arial"/>
          <w:b w:val="0"/>
          <w:i w:val="0"/>
          <w:sz w:val="22"/>
        </w:rPr>
        <w:t>prawo wniesienia skargi do Prezesa Urzędu Ochrony Danych Osobowych.</w:t>
      </w:r>
    </w:p>
    <w:p>
      <w:pPr>
        <w:spacing w:after="120"/>
      </w:pPr>
      <w:r>
        <w:rPr>
          <w:rFonts w:ascii="Arial" w:hAnsi="Arial" w:eastAsia="Arial"/>
          <w:b w:val="0"/>
          <w:i w:val="0"/>
          <w:sz w:val="22"/>
        </w:rPr>
        <w:t>W celu realizacji praw należy skontaktować się pod adresem iod@torodo.pl.</w:t>
      </w:r>
    </w:p>
    <w:p>
      <w:pPr>
        <w:spacing w:after="120"/>
      </w:pPr>
      <w:r>
        <w:rPr>
          <w:rFonts w:ascii="Arial" w:hAnsi="Arial" w:eastAsia="Arial"/>
          <w:b w:val="0"/>
          <w:i w:val="0"/>
          <w:sz w:val="22"/>
        </w:rPr>
        <w:t>Administrator może poprosić o dodatkowe informacje niezbędne do potwierdzenia tożsamości wnioskodawcy, jeżeli jest to uzasadnione. Wnioski są rozpatrywane zgodnie z terminami i zasadami określonymi w RODO.</w:t>
      </w:r>
    </w:p>
    <w:p>
      <w:pPr>
        <w:keepNext/>
        <w:spacing w:before="280" w:after="80"/>
      </w:pPr>
      <w:r>
        <w:rPr>
          <w:rFonts w:ascii="Arial" w:hAnsi="Arial" w:eastAsia="Arial"/>
          <w:b/>
          <w:sz w:val="25"/>
        </w:rPr>
        <w:t>10. Pliki cookies</w:t>
      </w:r>
    </w:p>
    <w:p>
      <w:pPr>
        <w:spacing w:after="120"/>
      </w:pPr>
      <w:r>
        <w:rPr>
          <w:rFonts w:ascii="Arial" w:hAnsi="Arial" w:eastAsia="Arial"/>
          <w:b w:val="0"/>
          <w:i w:val="0"/>
          <w:sz w:val="22"/>
        </w:rPr>
        <w:t>Strona wykorzystuje pliki cookies i podobne technologie: techniczne (zapamiętanie wyboru dotyczącego cookies) oraz analityczne (Google Analytics), które są uruchamiane wyłącznie po uzyskaniu zgody użytkownika.</w:t>
      </w:r>
    </w:p>
    <w:p>
      <w:pPr>
        <w:spacing w:after="120"/>
      </w:pPr>
      <w:r>
        <w:rPr>
          <w:rFonts w:ascii="Arial" w:hAnsi="Arial" w:eastAsia="Arial"/>
          <w:b w:val="0"/>
          <w:i w:val="0"/>
          <w:sz w:val="22"/>
        </w:rPr>
        <w:t>Technologie niewymagane do realizacji funkcji żądanej przez użytkownika są uruchamiane po uzyskaniu zgody, jeżeli jest ona wymagana przez prawo.</w:t>
      </w:r>
    </w:p>
    <w:p>
      <w:pPr>
        <w:spacing w:after="120"/>
      </w:pPr>
      <w:r>
        <w:rPr>
          <w:rFonts w:ascii="Arial" w:hAnsi="Arial" w:eastAsia="Arial"/>
          <w:b w:val="0"/>
          <w:i w:val="0"/>
          <w:sz w:val="22"/>
        </w:rPr>
        <w:t>Szczegółowe informacje o rodzajach cookies, celach ich stosowania oraz sposobach zarządzania zgodą znajdują się w odrębnej Polityce cookies.</w:t>
      </w:r>
    </w:p>
    <w:p>
      <w:pPr>
        <w:keepNext/>
        <w:spacing w:before="280" w:after="80"/>
      </w:pPr>
      <w:r>
        <w:rPr>
          <w:rFonts w:ascii="Arial" w:hAnsi="Arial" w:eastAsia="Arial"/>
          <w:b/>
          <w:sz w:val="25"/>
        </w:rPr>
        <w:t>11. Zautomatyzowane podejmowanie decyzji</w:t>
      </w:r>
    </w:p>
    <w:p>
      <w:pPr>
        <w:spacing w:after="120"/>
      </w:pPr>
      <w:r>
        <w:rPr>
          <w:rFonts w:ascii="Arial" w:hAnsi="Arial" w:eastAsia="Arial"/>
          <w:b w:val="0"/>
          <w:i w:val="0"/>
          <w:sz w:val="22"/>
        </w:rPr>
        <w:t>W ramach funkcji strony administrator nie podejmuje decyzji w sposób zautomatyzowany ani nie stosuje profilowania wywołującego skutki prawne lub podobnie istotne skutki dla użytkownika.</w:t>
      </w:r>
    </w:p>
    <w:p>
      <w:pPr>
        <w:keepNext/>
        <w:spacing w:before="280" w:after="80"/>
      </w:pPr>
      <w:r>
        <w:rPr>
          <w:rFonts w:ascii="Arial" w:hAnsi="Arial" w:eastAsia="Arial"/>
          <w:b/>
          <w:sz w:val="25"/>
        </w:rPr>
        <w:t>12. Bezpieczeństwo danych</w:t>
      </w:r>
    </w:p>
    <w:p>
      <w:pPr>
        <w:spacing w:after="120"/>
      </w:pPr>
      <w:r>
        <w:rPr>
          <w:rFonts w:ascii="Arial" w:hAnsi="Arial" w:eastAsia="Arial"/>
          <w:b w:val="0"/>
          <w:i w:val="0"/>
          <w:sz w:val="22"/>
        </w:rPr>
        <w:t>Administrator stosuje odpowiednie środki techniczne i organizacyjne mające na celu ochronę danych przed nieuprawnionym dostępem, utratą, zniszczeniem, zmianą lub ujawnieniem.</w:t>
      </w:r>
    </w:p>
    <w:p>
      <w:pPr>
        <w:spacing w:after="120"/>
      </w:pPr>
      <w:r>
        <w:rPr>
          <w:rFonts w:ascii="Arial" w:hAnsi="Arial" w:eastAsia="Arial"/>
          <w:b w:val="0"/>
          <w:i w:val="0"/>
          <w:sz w:val="22"/>
        </w:rPr>
        <w:t>Środki te są dobierane z uwzględnieniem charakteru danych, celów przetwarzania oraz ryzyka dla praw i wolności osób fizycznych.</w:t>
      </w:r>
    </w:p>
    <w:p>
      <w:pPr>
        <w:keepNext/>
        <w:spacing w:before="280" w:after="80"/>
      </w:pPr>
      <w:r>
        <w:rPr>
          <w:rFonts w:ascii="Arial" w:hAnsi="Arial" w:eastAsia="Arial"/>
          <w:b/>
          <w:sz w:val="25"/>
        </w:rPr>
        <w:t>13. Zmiany Polityki prywatności</w:t>
      </w:r>
    </w:p>
    <w:p>
      <w:pPr>
        <w:spacing w:after="120"/>
      </w:pPr>
      <w:r>
        <w:rPr>
          <w:rFonts w:ascii="Arial" w:hAnsi="Arial" w:eastAsia="Arial"/>
          <w:b w:val="0"/>
          <w:i w:val="0"/>
          <w:sz w:val="22"/>
        </w:rPr>
        <w:t>Polityka może być aktualizowana w przypadku zmiany przepisów prawa, funkcji strony lub sposobów przetwarzania danych. Aktualna wersja dokumentu jest publikowana na stronie www.torodo.pl wraz z datą aktualizacji.</w:t>
      </w:r>
    </w:p>
    <w:p>
      <w:pPr>
        <w:keepNext/>
        <w:spacing w:before="280" w:after="80"/>
      </w:pPr>
      <w:r>
        <w:rPr>
          <w:rFonts w:ascii="Arial" w:hAnsi="Arial" w:eastAsia="Arial"/>
          <w:b/>
          <w:sz w:val="25"/>
        </w:rPr>
        <w:t>14. Kontakt</w:t>
      </w:r>
    </w:p>
    <w:p>
      <w:pPr>
        <w:spacing w:after="120"/>
      </w:pPr>
      <w:r>
        <w:rPr>
          <w:rFonts w:ascii="Arial" w:hAnsi="Arial" w:eastAsia="Arial"/>
          <w:b w:val="0"/>
          <w:i w:val="0"/>
          <w:sz w:val="22"/>
        </w:rPr>
        <w:t>W sprawach dotyczących niniejszej Polityki prywatności można kontaktować się z administratorem:</w:t>
      </w:r>
    </w:p>
    <w:p>
      <w:pPr>
        <w:spacing w:after="120"/>
      </w:pPr>
      <w:r>
        <w:rPr>
          <w:rFonts w:ascii="Arial" w:hAnsi="Arial" w:eastAsia="Arial"/>
          <w:b w:val="0"/>
          <w:i w:val="0"/>
          <w:sz w:val="22"/>
        </w:rPr>
        <w:t>Doradztwo Kinga Nowobilska</w:t>
        <w:br/>
      </w:r>
      <w:r>
        <w:rPr>
          <w:rFonts w:ascii="Arial" w:hAnsi="Arial" w:eastAsia="Arial"/>
          <w:b w:val="0"/>
          <w:i w:val="0"/>
          <w:sz w:val="22"/>
        </w:rPr>
        <w:t>E-mail: iod@torodo.pl</w:t>
        <w:br/>
      </w:r>
      <w:r>
        <w:rPr>
          <w:rFonts w:ascii="Arial" w:hAnsi="Arial" w:eastAsia="Arial"/>
          <w:b w:val="0"/>
          <w:i w:val="0"/>
          <w:sz w:val="22"/>
        </w:rPr>
        <w:t>Telefon: 509 396 848</w:t>
        <w:br/>
      </w:r>
      <w:r>
        <w:rPr>
          <w:rFonts w:ascii="Arial" w:hAnsi="Arial" w:eastAsia="Arial"/>
          <w:b w:val="0"/>
          <w:i w:val="0"/>
          <w:sz w:val="22"/>
        </w:rPr>
        <w:t>Adres siedziby: 33-300 Nowy Sącz, ul. Jeziorańskiego 1</w:t>
        <w:br/>
      </w:r>
      <w:r>
        <w:rPr>
          <w:rFonts w:ascii="Arial" w:hAnsi="Arial" w:eastAsia="Arial"/>
          <w:b w:val="0"/>
          <w:i w:val="0"/>
          <w:sz w:val="22"/>
        </w:rPr>
        <w:t>NIP: 734-122-23-37</w:t>
      </w:r>
    </w:p>
    <w:p>
      <w:pPr>
        <w:spacing w:after="120"/>
      </w:pPr>
      <w:r>
        <w:rPr>
          <w:rFonts w:ascii="Arial" w:hAnsi="Arial" w:eastAsia="Arial"/>
          <w:b w:val="0"/>
          <w:i w:val="0"/>
          <w:sz w:val="22"/>
        </w:rPr>
        <w:t>Data obowiązywania dokumentu: 16 października 2026 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